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327A0E" w:rsidRDefault="00694E95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r>
        <w:rPr>
          <w:rFonts w:cs="Arial"/>
          <w:b/>
          <w:bCs/>
          <w:sz w:val="28"/>
        </w:rPr>
        <w:t>3GPP TSG RAN WG1 AH_NR Meeting</w:t>
      </w:r>
      <w:r w:rsidR="003522AD" w:rsidRPr="00327A0E">
        <w:rPr>
          <w:b/>
          <w:noProof/>
          <w:sz w:val="24"/>
        </w:rPr>
        <w:t xml:space="preserve"> </w:t>
      </w:r>
      <w:r w:rsidR="003522AD" w:rsidRPr="00327A0E">
        <w:rPr>
          <w:b/>
          <w:noProof/>
          <w:sz w:val="28"/>
        </w:rPr>
        <w:tab/>
      </w:r>
      <w:r w:rsidR="00327A0E" w:rsidRPr="00327A0E">
        <w:rPr>
          <w:b/>
          <w:noProof/>
          <w:sz w:val="28"/>
        </w:rPr>
        <w:t>R1-1</w:t>
      </w:r>
      <w:r w:rsidR="00496449">
        <w:rPr>
          <w:b/>
          <w:noProof/>
          <w:sz w:val="28"/>
        </w:rPr>
        <w:t>70</w:t>
      </w:r>
      <w:r w:rsidR="00A95B99">
        <w:rPr>
          <w:b/>
          <w:noProof/>
          <w:sz w:val="28"/>
        </w:rPr>
        <w:t>0449</w:t>
      </w:r>
    </w:p>
    <w:p w:rsidR="003522AD" w:rsidRPr="001D6249" w:rsidRDefault="00496449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Spo</w:t>
      </w:r>
      <w:r w:rsidR="00AE24E0">
        <w:rPr>
          <w:rFonts w:cs="Arial"/>
          <w:sz w:val="22"/>
          <w:lang w:eastAsia="ja-JP"/>
        </w:rPr>
        <w:t>k</w:t>
      </w:r>
      <w:r>
        <w:rPr>
          <w:rFonts w:cs="Arial"/>
          <w:sz w:val="22"/>
          <w:lang w:eastAsia="ja-JP"/>
        </w:rPr>
        <w:t>ane</w:t>
      </w:r>
      <w:r w:rsidR="00D4433B">
        <w:rPr>
          <w:rFonts w:cs="Arial"/>
          <w:sz w:val="22"/>
          <w:lang w:eastAsia="ja-JP"/>
        </w:rPr>
        <w:t xml:space="preserve">, </w:t>
      </w:r>
      <w:r>
        <w:rPr>
          <w:rFonts w:cs="Arial"/>
          <w:sz w:val="22"/>
          <w:lang w:eastAsia="ja-JP"/>
        </w:rPr>
        <w:t>WA</w:t>
      </w:r>
      <w:r w:rsidR="00D4433B">
        <w:rPr>
          <w:rFonts w:cs="Arial"/>
          <w:sz w:val="22"/>
          <w:lang w:eastAsia="ja-JP"/>
        </w:rPr>
        <w:t>, USA</w:t>
      </w:r>
      <w:r w:rsidR="003522AD" w:rsidRPr="001D6249">
        <w:rPr>
          <w:rFonts w:cs="Arial"/>
          <w:bCs/>
          <w:sz w:val="22"/>
          <w:lang w:eastAsia="ja-JP"/>
        </w:rPr>
        <w:t xml:space="preserve">,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6</w:t>
      </w:r>
      <w:r w:rsidR="003522AD" w:rsidRPr="0093628B">
        <w:rPr>
          <w:rFonts w:cs="Arial"/>
          <w:bCs/>
          <w:sz w:val="22"/>
          <w:vertAlign w:val="superscript"/>
          <w:lang w:eastAsia="ja-JP"/>
        </w:rPr>
        <w:t>th</w:t>
      </w:r>
      <w:r w:rsidR="003522AD">
        <w:rPr>
          <w:rFonts w:cs="Arial"/>
          <w:bCs/>
          <w:sz w:val="22"/>
          <w:lang w:eastAsia="ja-JP"/>
        </w:rPr>
        <w:t xml:space="preserve"> </w:t>
      </w:r>
      <w:r w:rsidR="003522AD" w:rsidRPr="001D6249">
        <w:rPr>
          <w:rFonts w:cs="Arial"/>
          <w:bCs/>
          <w:sz w:val="22"/>
          <w:lang w:eastAsia="ja-JP"/>
        </w:rPr>
        <w:t xml:space="preserve">– </w:t>
      </w:r>
      <w:r>
        <w:rPr>
          <w:rFonts w:cs="Arial"/>
          <w:bCs/>
          <w:sz w:val="22"/>
          <w:lang w:eastAsia="ja-JP"/>
        </w:rPr>
        <w:t>20</w:t>
      </w:r>
      <w:r w:rsidR="003522AD" w:rsidRPr="001D6249">
        <w:rPr>
          <w:rFonts w:cs="Arial"/>
          <w:bCs/>
          <w:sz w:val="22"/>
          <w:vertAlign w:val="superscript"/>
          <w:lang w:eastAsia="ja-JP"/>
        </w:rPr>
        <w:t>th</w:t>
      </w:r>
      <w:r w:rsidR="003522AD"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Jan</w:t>
      </w:r>
      <w:r w:rsidR="003522AD" w:rsidRPr="001D6249">
        <w:rPr>
          <w:rFonts w:cs="Arial"/>
          <w:bCs/>
          <w:sz w:val="22"/>
          <w:lang w:eastAsia="ja-JP"/>
        </w:rPr>
        <w:t xml:space="preserve"> 201</w:t>
      </w:r>
      <w:r>
        <w:rPr>
          <w:rFonts w:cs="Arial"/>
          <w:bCs/>
          <w:sz w:val="22"/>
          <w:lang w:eastAsia="ja-JP"/>
        </w:rPr>
        <w:t>7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2A4891">
        <w:rPr>
          <w:rFonts w:ascii="Arial" w:hAnsi="Arial" w:hint="eastAsia"/>
          <w:b/>
          <w:kern w:val="0"/>
          <w:sz w:val="24"/>
          <w:szCs w:val="22"/>
          <w:lang w:val="en-GB"/>
        </w:rPr>
        <w:t>5</w:t>
      </w:r>
      <w:r w:rsidR="00133684">
        <w:rPr>
          <w:rFonts w:ascii="Arial" w:hAnsi="Arial" w:hint="eastAsia"/>
          <w:b/>
          <w:kern w:val="0"/>
          <w:sz w:val="24"/>
          <w:szCs w:val="22"/>
          <w:lang w:val="en-GB"/>
        </w:rPr>
        <w:t>.</w:t>
      </w:r>
      <w:r w:rsidR="002A4891">
        <w:rPr>
          <w:rFonts w:ascii="Arial" w:hAnsi="Arial"/>
          <w:b/>
          <w:kern w:val="0"/>
          <w:sz w:val="24"/>
          <w:szCs w:val="22"/>
          <w:lang w:val="en-GB"/>
        </w:rPr>
        <w:t>1</w:t>
      </w:r>
      <w:r w:rsidR="00133684">
        <w:rPr>
          <w:rFonts w:ascii="Arial" w:hAnsi="Arial" w:hint="eastAsia"/>
          <w:b/>
          <w:kern w:val="0"/>
          <w:sz w:val="24"/>
          <w:szCs w:val="22"/>
          <w:lang w:val="en-GB"/>
        </w:rPr>
        <w:t>.</w:t>
      </w:r>
      <w:r w:rsidR="002A4891">
        <w:rPr>
          <w:rFonts w:ascii="Arial" w:hAnsi="Arial"/>
          <w:b/>
          <w:kern w:val="0"/>
          <w:sz w:val="24"/>
          <w:szCs w:val="22"/>
          <w:lang w:val="en-GB"/>
        </w:rPr>
        <w:t>8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1D5CA2">
        <w:rPr>
          <w:rFonts w:ascii="Arial" w:hAnsi="Arial"/>
          <w:b/>
          <w:kern w:val="0"/>
          <w:sz w:val="24"/>
          <w:szCs w:val="22"/>
          <w:lang w:val="en-GB" w:eastAsia="en-US"/>
        </w:rPr>
        <w:t>N</w:t>
      </w:r>
      <w:r w:rsidR="002F19C4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umber of </w:t>
      </w:r>
      <w:r w:rsidR="00E17738">
        <w:rPr>
          <w:rFonts w:ascii="Arial" w:hAnsi="Arial"/>
          <w:b/>
          <w:kern w:val="0"/>
          <w:sz w:val="24"/>
          <w:szCs w:val="22"/>
          <w:lang w:val="en-GB" w:eastAsia="en-US"/>
        </w:rPr>
        <w:t>component carriers in NR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2E41D8" w:rsidRPr="002E41D8" w:rsidRDefault="002E41D8" w:rsidP="002E41D8">
      <w:pPr>
        <w:spacing w:after="120"/>
        <w:rPr>
          <w:lang w:val="en-GB"/>
        </w:rPr>
      </w:pPr>
      <w:r>
        <w:rPr>
          <w:rFonts w:hint="eastAsia"/>
          <w:lang w:val="en-GB"/>
        </w:rPr>
        <w:t xml:space="preserve">In RAN1#87, following </w:t>
      </w:r>
      <w:r>
        <w:rPr>
          <w:lang w:val="en-GB"/>
        </w:rPr>
        <w:t>agreements are made for carrier aggregation / dual connectivity:</w:t>
      </w:r>
    </w:p>
    <w:p w:rsidR="002E41D8" w:rsidRDefault="002E41D8" w:rsidP="002E41D8">
      <w:pPr>
        <w:spacing w:afterLines="0" w:after="0"/>
        <w:rPr>
          <w:b/>
          <w:kern w:val="0"/>
          <w:u w:val="single"/>
        </w:rPr>
      </w:pPr>
      <w:r>
        <w:rPr>
          <w:b/>
          <w:highlight w:val="green"/>
          <w:u w:val="single"/>
        </w:rPr>
        <w:t>Agreements:</w:t>
      </w:r>
    </w:p>
    <w:p w:rsidR="002E41D8" w:rsidRDefault="002E41D8" w:rsidP="002E41D8">
      <w:pPr>
        <w:widowControl/>
        <w:numPr>
          <w:ilvl w:val="0"/>
          <w:numId w:val="22"/>
        </w:numPr>
        <w:spacing w:afterLines="0" w:after="0"/>
      </w:pPr>
      <w:r>
        <w:rPr>
          <w:bCs/>
          <w:iCs/>
        </w:rPr>
        <w:t>For phase 1, carrier aggregation/dual connectivity operation within NR carriers over e.g. around 1GHz contiguous and non- contiguous spectrum from both NW and UE perspectives is supported</w:t>
      </w:r>
    </w:p>
    <w:p w:rsidR="002E41D8" w:rsidRDefault="002E41D8" w:rsidP="002E41D8">
      <w:pPr>
        <w:widowControl/>
        <w:numPr>
          <w:ilvl w:val="1"/>
          <w:numId w:val="22"/>
        </w:numPr>
        <w:spacing w:afterLines="0" w:after="0"/>
      </w:pPr>
      <w:r>
        <w:t>[4 - 32] should be assumed for further study of the maximum number of NR carriers</w:t>
      </w:r>
    </w:p>
    <w:p w:rsidR="002E41D8" w:rsidRDefault="002E41D8" w:rsidP="002E41D8">
      <w:pPr>
        <w:widowControl/>
        <w:numPr>
          <w:ilvl w:val="2"/>
          <w:numId w:val="22"/>
        </w:numPr>
        <w:spacing w:afterLines="0" w:after="0"/>
      </w:pPr>
      <w:r>
        <w:t>RAN1 will try to decide the exact number in this week</w:t>
      </w:r>
    </w:p>
    <w:p w:rsidR="002E41D8" w:rsidRDefault="002E41D8" w:rsidP="002E41D8">
      <w:pPr>
        <w:widowControl/>
        <w:numPr>
          <w:ilvl w:val="1"/>
          <w:numId w:val="22"/>
        </w:numPr>
        <w:spacing w:afterLines="0" w:after="0"/>
      </w:pPr>
      <w:r>
        <w:rPr>
          <w:bCs/>
          <w:iCs/>
        </w:rPr>
        <w:t>Cross-carrier scheduling and joint UCI feedback are supported</w:t>
      </w:r>
    </w:p>
    <w:p w:rsidR="002E41D8" w:rsidRDefault="002E41D8" w:rsidP="002E41D8">
      <w:pPr>
        <w:widowControl/>
        <w:numPr>
          <w:ilvl w:val="1"/>
          <w:numId w:val="22"/>
        </w:numPr>
        <w:spacing w:afterLines="0" w:after="0"/>
      </w:pPr>
      <w:r>
        <w:rPr>
          <w:bCs/>
          <w:iCs/>
        </w:rPr>
        <w:t>Per-carrier TB mapping is supported</w:t>
      </w:r>
    </w:p>
    <w:p w:rsidR="002E41D8" w:rsidRDefault="002E41D8" w:rsidP="002E41D8">
      <w:pPr>
        <w:widowControl/>
        <w:numPr>
          <w:ilvl w:val="2"/>
          <w:numId w:val="22"/>
        </w:numPr>
        <w:tabs>
          <w:tab w:val="num" w:pos="2160"/>
        </w:tabs>
        <w:spacing w:afterLines="0" w:after="0"/>
      </w:pPr>
      <w:r>
        <w:rPr>
          <w:bCs/>
          <w:iCs/>
        </w:rPr>
        <w:t>FFS TB mapping across multiple carriers</w:t>
      </w:r>
    </w:p>
    <w:p w:rsidR="002E41D8" w:rsidRPr="002E41D8" w:rsidRDefault="002E41D8" w:rsidP="00E03C7D">
      <w:pPr>
        <w:spacing w:afterLines="0" w:after="0" w:line="264" w:lineRule="auto"/>
      </w:pPr>
    </w:p>
    <w:p w:rsidR="00496449" w:rsidRDefault="00496449" w:rsidP="00E03C7D">
      <w:pPr>
        <w:spacing w:afterLines="0" w:after="0" w:line="264" w:lineRule="auto"/>
      </w:pPr>
      <w:r>
        <w:t xml:space="preserve">In this contribution, we provide our </w:t>
      </w:r>
      <w:r w:rsidR="002E41D8">
        <w:t>view on the maximum number of component carriers</w:t>
      </w:r>
      <w:r>
        <w:t>.</w:t>
      </w:r>
    </w:p>
    <w:p w:rsidR="006C6D44" w:rsidRPr="003522AD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5E1CA8" w:rsidRDefault="00FB2EF1" w:rsidP="00B1074E">
      <w:pPr>
        <w:spacing w:after="120"/>
        <w:ind w:firstLineChars="150" w:firstLine="300"/>
        <w:rPr>
          <w:lang w:val="en-GB"/>
        </w:rPr>
      </w:pPr>
      <w:r>
        <w:rPr>
          <w:lang w:val="en-GB"/>
        </w:rPr>
        <w:t>R</w:t>
      </w:r>
      <w:r w:rsidR="00B86465">
        <w:rPr>
          <w:lang w:val="en-GB"/>
        </w:rPr>
        <w:t>eview</w:t>
      </w:r>
      <w:r>
        <w:rPr>
          <w:lang w:val="en-GB"/>
        </w:rPr>
        <w:t>ing</w:t>
      </w:r>
      <w:r w:rsidR="00B86465">
        <w:rPr>
          <w:lang w:val="en-GB"/>
        </w:rPr>
        <w:t xml:space="preserve"> </w:t>
      </w:r>
      <w:r w:rsidR="00B1074E">
        <w:rPr>
          <w:lang w:val="en-GB"/>
        </w:rPr>
        <w:t xml:space="preserve">carrier aggregation </w:t>
      </w:r>
      <w:r>
        <w:rPr>
          <w:lang w:val="en-GB"/>
        </w:rPr>
        <w:t xml:space="preserve">of LTE firstly, </w:t>
      </w:r>
      <w:r w:rsidR="00B1074E">
        <w:rPr>
          <w:lang w:val="en-GB"/>
        </w:rPr>
        <w:t xml:space="preserve">up to 5 CCs is </w:t>
      </w:r>
      <w:r w:rsidR="008F4829">
        <w:rPr>
          <w:lang w:val="en-GB"/>
        </w:rPr>
        <w:t>support</w:t>
      </w:r>
      <w:r w:rsidR="00B1074E">
        <w:rPr>
          <w:lang w:val="en-GB"/>
        </w:rPr>
        <w:t>ed</w:t>
      </w:r>
      <w:r w:rsidR="008F4829">
        <w:rPr>
          <w:lang w:val="en-GB"/>
        </w:rPr>
        <w:t xml:space="preserve"> to comply with </w:t>
      </w:r>
      <w:r>
        <w:rPr>
          <w:lang w:val="en-GB"/>
        </w:rPr>
        <w:t xml:space="preserve">requirement of IMT-Advanced (≥ 40 MHz) </w:t>
      </w:r>
      <w:r w:rsidR="002C1F1A">
        <w:rPr>
          <w:lang w:val="en-GB"/>
        </w:rPr>
        <w:t>as well as 3GPP requirement</w:t>
      </w:r>
      <w:r w:rsidR="00284059">
        <w:rPr>
          <w:lang w:val="en-GB"/>
        </w:rPr>
        <w:t xml:space="preserve"> in Rel-10. It </w:t>
      </w:r>
      <w:r>
        <w:rPr>
          <w:lang w:val="en-GB"/>
        </w:rPr>
        <w:t>enable</w:t>
      </w:r>
      <w:r w:rsidR="00284059">
        <w:rPr>
          <w:lang w:val="en-GB"/>
        </w:rPr>
        <w:t>s</w:t>
      </w:r>
      <w:r>
        <w:rPr>
          <w:lang w:val="en-GB"/>
        </w:rPr>
        <w:t xml:space="preserve"> </w:t>
      </w:r>
      <w:r w:rsidR="00284059">
        <w:rPr>
          <w:lang w:val="en-GB"/>
        </w:rPr>
        <w:t xml:space="preserve">also to </w:t>
      </w:r>
      <w:r w:rsidR="00C81F3F">
        <w:rPr>
          <w:lang w:val="en-GB"/>
        </w:rPr>
        <w:t>combine</w:t>
      </w:r>
      <w:r w:rsidR="00284059">
        <w:rPr>
          <w:lang w:val="en-GB"/>
        </w:rPr>
        <w:t xml:space="preserve"> smaller channel BW of v</w:t>
      </w:r>
      <w:r w:rsidR="00881C01">
        <w:rPr>
          <w:lang w:val="en-GB"/>
        </w:rPr>
        <w:t xml:space="preserve">arious </w:t>
      </w:r>
      <w:r w:rsidR="00284059">
        <w:rPr>
          <w:lang w:val="en-GB"/>
        </w:rPr>
        <w:t>frequency band</w:t>
      </w:r>
      <w:r w:rsidR="008F4829">
        <w:rPr>
          <w:lang w:val="en-GB"/>
        </w:rPr>
        <w:t xml:space="preserve">. In </w:t>
      </w:r>
      <w:r w:rsidR="00475A52">
        <w:rPr>
          <w:lang w:val="en-GB"/>
        </w:rPr>
        <w:t>Rel-13</w:t>
      </w:r>
      <w:r w:rsidR="008F4829">
        <w:rPr>
          <w:lang w:val="en-GB"/>
        </w:rPr>
        <w:t xml:space="preserve">, it is enhanced </w:t>
      </w:r>
      <w:r w:rsidR="002F19C4">
        <w:rPr>
          <w:rFonts w:hint="eastAsia"/>
          <w:lang w:val="en-GB"/>
        </w:rPr>
        <w:t xml:space="preserve">up to 32 </w:t>
      </w:r>
      <w:r w:rsidR="008F4829">
        <w:rPr>
          <w:lang w:val="en-GB"/>
        </w:rPr>
        <w:t>CCs</w:t>
      </w:r>
      <w:r w:rsidR="00094445">
        <w:rPr>
          <w:lang w:val="en-GB"/>
        </w:rPr>
        <w:t xml:space="preserve"> for a single UE</w:t>
      </w:r>
      <w:r w:rsidR="002E7697">
        <w:rPr>
          <w:lang w:val="en-GB"/>
        </w:rPr>
        <w:t xml:space="preserve">. </w:t>
      </w:r>
      <w:r w:rsidR="002F19C4">
        <w:rPr>
          <w:lang w:val="en-GB"/>
        </w:rPr>
        <w:t>This large number</w:t>
      </w:r>
      <w:r w:rsidR="00824C43">
        <w:rPr>
          <w:lang w:val="en-GB"/>
        </w:rPr>
        <w:t xml:space="preserve"> of aggregation</w:t>
      </w:r>
      <w:r w:rsidR="002F19C4">
        <w:rPr>
          <w:lang w:val="en-GB"/>
        </w:rPr>
        <w:t xml:space="preserve"> </w:t>
      </w:r>
      <w:r w:rsidR="00B1074E">
        <w:rPr>
          <w:lang w:val="en-GB"/>
        </w:rPr>
        <w:t>may be</w:t>
      </w:r>
      <w:r w:rsidR="002E7697">
        <w:rPr>
          <w:lang w:val="en-GB"/>
        </w:rPr>
        <w:t xml:space="preserve"> </w:t>
      </w:r>
      <w:r w:rsidR="007A0550">
        <w:rPr>
          <w:lang w:val="en-GB"/>
        </w:rPr>
        <w:t>needed</w:t>
      </w:r>
      <w:r w:rsidR="002E7697">
        <w:rPr>
          <w:lang w:val="en-GB"/>
        </w:rPr>
        <w:t xml:space="preserve"> </w:t>
      </w:r>
      <w:r w:rsidR="007A0550">
        <w:rPr>
          <w:lang w:val="en-GB"/>
        </w:rPr>
        <w:t xml:space="preserve">to enable </w:t>
      </w:r>
      <w:r w:rsidR="00B1074E">
        <w:rPr>
          <w:lang w:val="en-GB"/>
        </w:rPr>
        <w:t>large bandwidth for exam</w:t>
      </w:r>
      <w:r w:rsidR="007A0550">
        <w:rPr>
          <w:lang w:val="en-GB"/>
        </w:rPr>
        <w:t>ple 160 MHz on unlicensed band</w:t>
      </w:r>
      <w:r w:rsidR="00B1074E">
        <w:rPr>
          <w:lang w:val="en-GB"/>
        </w:rPr>
        <w:t xml:space="preserve"> by aggregating 20 MHz channels</w:t>
      </w:r>
      <w:r w:rsidR="007A0550">
        <w:rPr>
          <w:lang w:val="en-GB"/>
        </w:rPr>
        <w:t xml:space="preserve"> in addition to PCell (and SCell(s)) on licenced carrier</w:t>
      </w:r>
      <w:r w:rsidR="00597F60">
        <w:rPr>
          <w:lang w:val="en-GB"/>
        </w:rPr>
        <w:t xml:space="preserve"> with</w:t>
      </w:r>
      <w:r w:rsidR="007A0550">
        <w:rPr>
          <w:lang w:val="en-GB"/>
        </w:rPr>
        <w:t xml:space="preserve"> room for further aggregation</w:t>
      </w:r>
      <w:r w:rsidR="00881C01">
        <w:rPr>
          <w:lang w:val="en-GB"/>
        </w:rPr>
        <w:t>.</w:t>
      </w:r>
    </w:p>
    <w:p w:rsidR="002F19C4" w:rsidRDefault="005E1CA8" w:rsidP="00B1074E">
      <w:pPr>
        <w:spacing w:after="120"/>
        <w:ind w:firstLineChars="150" w:firstLine="300"/>
        <w:rPr>
          <w:lang w:val="en-GB"/>
        </w:rPr>
      </w:pPr>
      <w:r>
        <w:rPr>
          <w:lang w:val="en-GB"/>
        </w:rPr>
        <w:t xml:space="preserve">With this, LTE </w:t>
      </w:r>
      <w:r w:rsidR="00FE007F">
        <w:rPr>
          <w:lang w:val="en-GB"/>
        </w:rPr>
        <w:t>Rel-13</w:t>
      </w:r>
      <w:r>
        <w:rPr>
          <w:lang w:val="en-GB"/>
        </w:rPr>
        <w:t xml:space="preserve"> supports up to 640 MHz channel bandwidth and up to 25 Gbps DL throughput in theory. </w:t>
      </w:r>
      <w:r w:rsidR="009721E5">
        <w:rPr>
          <w:lang w:val="en-GB"/>
        </w:rPr>
        <w:t>On the other hand</w:t>
      </w:r>
      <w:r>
        <w:rPr>
          <w:lang w:val="en-GB"/>
        </w:rPr>
        <w:t>, a</w:t>
      </w:r>
      <w:r w:rsidR="0046644A">
        <w:rPr>
          <w:lang w:val="en-GB"/>
        </w:rPr>
        <w:t>ggregating l</w:t>
      </w:r>
      <w:r w:rsidR="00CC7139">
        <w:rPr>
          <w:rFonts w:hint="eastAsia"/>
          <w:lang w:val="en-GB"/>
        </w:rPr>
        <w:t xml:space="preserve">arge number of component carriers has </w:t>
      </w:r>
      <w:r w:rsidR="00972BE1">
        <w:rPr>
          <w:lang w:val="en-GB"/>
        </w:rPr>
        <w:t xml:space="preserve">also </w:t>
      </w:r>
      <w:r w:rsidR="00CC7139">
        <w:rPr>
          <w:lang w:val="en-GB"/>
        </w:rPr>
        <w:t>drawbacks</w:t>
      </w:r>
      <w:r w:rsidR="00B1074E">
        <w:rPr>
          <w:lang w:val="en-GB"/>
        </w:rPr>
        <w:t xml:space="preserve">, </w:t>
      </w:r>
      <w:r w:rsidR="00972BE1">
        <w:rPr>
          <w:lang w:val="en-GB"/>
        </w:rPr>
        <w:t>e.g.</w:t>
      </w:r>
    </w:p>
    <w:p w:rsidR="002A4891" w:rsidRDefault="00972BE1" w:rsidP="00972BE1">
      <w:pPr>
        <w:pStyle w:val="ae"/>
        <w:numPr>
          <w:ilvl w:val="0"/>
          <w:numId w:val="23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large number of </w:t>
      </w:r>
      <w:r>
        <w:rPr>
          <w:rFonts w:hint="eastAsia"/>
          <w:lang w:val="en-GB"/>
        </w:rPr>
        <w:t>DCI</w:t>
      </w:r>
      <w:r w:rsidR="00881C01">
        <w:rPr>
          <w:lang w:val="en-GB"/>
        </w:rPr>
        <w:t xml:space="preserve"> to be monitored</w:t>
      </w:r>
    </w:p>
    <w:p w:rsidR="00972BE1" w:rsidRDefault="00972BE1" w:rsidP="00972BE1">
      <w:pPr>
        <w:pStyle w:val="ae"/>
        <w:numPr>
          <w:ilvl w:val="0"/>
          <w:numId w:val="23"/>
        </w:numPr>
        <w:spacing w:after="120"/>
        <w:ind w:leftChars="0"/>
        <w:rPr>
          <w:lang w:val="en-GB"/>
        </w:rPr>
      </w:pPr>
      <w:r>
        <w:rPr>
          <w:lang w:val="en-GB"/>
        </w:rPr>
        <w:t>large payload size of HARQ-ACK feedback</w:t>
      </w:r>
    </w:p>
    <w:p w:rsidR="00972BE1" w:rsidRDefault="00972BE1" w:rsidP="00972BE1">
      <w:pPr>
        <w:pStyle w:val="ae"/>
        <w:numPr>
          <w:ilvl w:val="0"/>
          <w:numId w:val="23"/>
        </w:numPr>
        <w:spacing w:after="120"/>
        <w:ind w:leftChars="0"/>
        <w:rPr>
          <w:lang w:val="en-GB"/>
        </w:rPr>
      </w:pPr>
      <w:r>
        <w:rPr>
          <w:lang w:val="en-GB"/>
        </w:rPr>
        <w:t>large number of CSI feedback</w:t>
      </w:r>
    </w:p>
    <w:p w:rsidR="00016D5E" w:rsidRDefault="00972BE1" w:rsidP="002B3309">
      <w:pPr>
        <w:spacing w:after="120"/>
        <w:ind w:firstLineChars="150" w:firstLine="300"/>
        <w:rPr>
          <w:lang w:val="en-GB"/>
        </w:rPr>
      </w:pPr>
      <w:r>
        <w:rPr>
          <w:rFonts w:hint="eastAsia"/>
          <w:lang w:val="en-GB"/>
        </w:rPr>
        <w:t>These</w:t>
      </w:r>
      <w:r w:rsidR="000B7336">
        <w:rPr>
          <w:lang w:val="en-GB"/>
        </w:rPr>
        <w:t xml:space="preserve"> drawbacks</w:t>
      </w:r>
      <w:r>
        <w:rPr>
          <w:rFonts w:hint="eastAsia"/>
          <w:lang w:val="en-GB"/>
        </w:rPr>
        <w:t xml:space="preserve"> </w:t>
      </w:r>
      <w:r w:rsidR="0033658D">
        <w:rPr>
          <w:lang w:val="en-GB"/>
        </w:rPr>
        <w:t>would</w:t>
      </w:r>
      <w:r>
        <w:rPr>
          <w:lang w:val="en-GB"/>
        </w:rPr>
        <w:t xml:space="preserve"> have impact on</w:t>
      </w:r>
      <w:r w:rsidR="00284059">
        <w:rPr>
          <w:lang w:val="en-GB"/>
        </w:rPr>
        <w:t>, e.g.</w:t>
      </w:r>
      <w:r>
        <w:rPr>
          <w:lang w:val="en-GB"/>
        </w:rPr>
        <w:t xml:space="preserve"> power consumption</w:t>
      </w:r>
      <w:r w:rsidR="0033658D">
        <w:rPr>
          <w:lang w:val="en-GB"/>
        </w:rPr>
        <w:t xml:space="preserve"> of UE</w:t>
      </w:r>
      <w:r>
        <w:rPr>
          <w:lang w:val="en-GB"/>
        </w:rPr>
        <w:t xml:space="preserve">, UL coverage, </w:t>
      </w:r>
      <w:r w:rsidR="00E91D19">
        <w:rPr>
          <w:lang w:val="en-GB"/>
        </w:rPr>
        <w:t>UL capacity</w:t>
      </w:r>
      <w:r>
        <w:rPr>
          <w:lang w:val="en-GB"/>
        </w:rPr>
        <w:t>.</w:t>
      </w:r>
      <w:r w:rsidR="008B0496">
        <w:rPr>
          <w:rFonts w:hint="eastAsia"/>
          <w:lang w:val="en-GB"/>
        </w:rPr>
        <w:t xml:space="preserve"> </w:t>
      </w:r>
      <w:r w:rsidR="0033658D">
        <w:rPr>
          <w:lang w:val="en-GB"/>
        </w:rPr>
        <w:t>Considering drawbacks of LTE</w:t>
      </w:r>
      <w:r w:rsidR="00780D88">
        <w:rPr>
          <w:lang w:val="en-GB"/>
        </w:rPr>
        <w:t>,</w:t>
      </w:r>
      <w:r w:rsidR="00780D88" w:rsidRPr="00780D88">
        <w:rPr>
          <w:lang w:val="en-GB"/>
        </w:rPr>
        <w:t xml:space="preserve"> </w:t>
      </w:r>
      <w:r w:rsidR="00FF2F49">
        <w:rPr>
          <w:lang w:val="en-GB"/>
        </w:rPr>
        <w:t xml:space="preserve">it is not clear </w:t>
      </w:r>
      <w:r w:rsidR="009721E5">
        <w:rPr>
          <w:lang w:val="en-GB"/>
        </w:rPr>
        <w:t>support</w:t>
      </w:r>
      <w:r w:rsidR="00FF2F49">
        <w:rPr>
          <w:lang w:val="en-GB"/>
        </w:rPr>
        <w:t>ing</w:t>
      </w:r>
      <w:r w:rsidR="009721E5">
        <w:rPr>
          <w:lang w:val="en-GB"/>
        </w:rPr>
        <w:t xml:space="preserve"> large</w:t>
      </w:r>
      <w:r w:rsidR="00780D88">
        <w:rPr>
          <w:lang w:val="en-GB"/>
        </w:rPr>
        <w:t xml:space="preserve"> number of aggregation would be preferable in NR.</w:t>
      </w:r>
      <w:r w:rsidR="0033658D">
        <w:rPr>
          <w:lang w:val="en-GB"/>
        </w:rPr>
        <w:t xml:space="preserve"> </w:t>
      </w:r>
      <w:r w:rsidR="00780D88">
        <w:rPr>
          <w:lang w:val="en-GB"/>
        </w:rPr>
        <w:t>A</w:t>
      </w:r>
      <w:r w:rsidR="0033658D">
        <w:rPr>
          <w:lang w:val="en-GB"/>
        </w:rPr>
        <w:t xml:space="preserve">nd </w:t>
      </w:r>
      <w:r w:rsidR="00780D88">
        <w:rPr>
          <w:lang w:val="en-GB"/>
        </w:rPr>
        <w:t xml:space="preserve">also </w:t>
      </w:r>
      <w:r w:rsidR="0033658D">
        <w:rPr>
          <w:lang w:val="en-GB"/>
        </w:rPr>
        <w:t>considering</w:t>
      </w:r>
      <w:r w:rsidR="008B0496">
        <w:rPr>
          <w:rFonts w:hint="eastAsia"/>
          <w:lang w:val="en-GB"/>
        </w:rPr>
        <w:t xml:space="preserve"> a CC may support</w:t>
      </w:r>
      <w:r w:rsidR="0033658D">
        <w:rPr>
          <w:lang w:val="en-GB"/>
        </w:rPr>
        <w:t xml:space="preserve"> </w:t>
      </w:r>
      <w:r w:rsidR="008B0496">
        <w:rPr>
          <w:lang w:val="en-GB"/>
        </w:rPr>
        <w:t>much wider bandwidth</w:t>
      </w:r>
      <w:r w:rsidR="006375F9">
        <w:rPr>
          <w:lang w:val="en-GB"/>
        </w:rPr>
        <w:t xml:space="preserve"> </w:t>
      </w:r>
      <w:r w:rsidR="00780D88">
        <w:rPr>
          <w:lang w:val="en-GB"/>
        </w:rPr>
        <w:t>in NR</w:t>
      </w:r>
      <w:r w:rsidR="0033658D">
        <w:rPr>
          <w:lang w:val="en-GB"/>
        </w:rPr>
        <w:t xml:space="preserve">, </w:t>
      </w:r>
      <w:r w:rsidR="006375F9">
        <w:rPr>
          <w:lang w:val="en-GB"/>
        </w:rPr>
        <w:t xml:space="preserve">NR </w:t>
      </w:r>
      <w:r w:rsidR="00881C01">
        <w:rPr>
          <w:lang w:val="en-GB"/>
        </w:rPr>
        <w:t xml:space="preserve">UE </w:t>
      </w:r>
      <w:r w:rsidR="006375F9">
        <w:rPr>
          <w:lang w:val="en-GB"/>
        </w:rPr>
        <w:t>would not necessarily be required to support aggregati</w:t>
      </w:r>
      <w:r w:rsidR="00284059">
        <w:rPr>
          <w:lang w:val="en-GB"/>
        </w:rPr>
        <w:t>ng</w:t>
      </w:r>
      <w:r w:rsidR="006375F9">
        <w:rPr>
          <w:lang w:val="en-GB"/>
        </w:rPr>
        <w:t xml:space="preserve"> </w:t>
      </w:r>
      <w:r w:rsidR="00284059">
        <w:rPr>
          <w:lang w:val="en-GB"/>
        </w:rPr>
        <w:t xml:space="preserve">the same level of number of </w:t>
      </w:r>
      <w:r w:rsidR="006375F9">
        <w:rPr>
          <w:lang w:val="en-GB"/>
        </w:rPr>
        <w:t>CCs</w:t>
      </w:r>
      <w:r w:rsidR="00284059">
        <w:rPr>
          <w:lang w:val="en-GB"/>
        </w:rPr>
        <w:t xml:space="preserve"> as LTE</w:t>
      </w:r>
      <w:r w:rsidR="006375F9">
        <w:rPr>
          <w:lang w:val="en-GB"/>
        </w:rPr>
        <w:t>.</w:t>
      </w:r>
    </w:p>
    <w:p w:rsidR="00016D5E" w:rsidRPr="001A4D35" w:rsidRDefault="00E03CD0" w:rsidP="002B3309">
      <w:pPr>
        <w:spacing w:after="120"/>
        <w:ind w:firstLineChars="150" w:firstLine="300"/>
        <w:rPr>
          <w:lang w:val="en-GB"/>
        </w:rPr>
      </w:pPr>
      <w:r>
        <w:rPr>
          <w:lang w:val="en-GB"/>
        </w:rPr>
        <w:t>In NR, a</w:t>
      </w:r>
      <w:r w:rsidR="001F5406">
        <w:rPr>
          <w:lang w:val="en-GB"/>
        </w:rPr>
        <w:t xml:space="preserve">round </w:t>
      </w:r>
      <w:r w:rsidR="001A4D35">
        <w:rPr>
          <w:lang w:val="en-GB"/>
        </w:rPr>
        <w:t>1 GHz</w:t>
      </w:r>
      <w:r w:rsidR="00445F9F">
        <w:rPr>
          <w:lang w:val="en-GB"/>
        </w:rPr>
        <w:t xml:space="preserve"> contiguous</w:t>
      </w:r>
      <w:r w:rsidR="001A4D35">
        <w:rPr>
          <w:lang w:val="en-GB"/>
        </w:rPr>
        <w:t xml:space="preserve"> </w:t>
      </w:r>
      <w:r w:rsidR="0046644A">
        <w:rPr>
          <w:lang w:val="en-GB"/>
        </w:rPr>
        <w:t>channel</w:t>
      </w:r>
      <w:r w:rsidR="00BD2D34">
        <w:rPr>
          <w:lang w:val="en-GB"/>
        </w:rPr>
        <w:t xml:space="preserve"> </w:t>
      </w:r>
      <w:r w:rsidR="001F5406">
        <w:rPr>
          <w:lang w:val="en-GB"/>
        </w:rPr>
        <w:t xml:space="preserve">may be available </w:t>
      </w:r>
      <w:r w:rsidR="001A4D35">
        <w:rPr>
          <w:lang w:val="en-GB"/>
        </w:rPr>
        <w:t>in high frequency band</w:t>
      </w:r>
      <w:r w:rsidR="002301BD">
        <w:rPr>
          <w:lang w:val="en-GB"/>
        </w:rPr>
        <w:t xml:space="preserve"> and should be supported</w:t>
      </w:r>
      <w:r w:rsidR="001F5406">
        <w:rPr>
          <w:lang w:val="en-GB"/>
        </w:rPr>
        <w:t xml:space="preserve">. </w:t>
      </w:r>
      <w:r w:rsidR="007F0D1C">
        <w:rPr>
          <w:lang w:val="en-GB"/>
        </w:rPr>
        <w:t xml:space="preserve">For such high frequency band, higher subcarrier spacing would be used. For example, </w:t>
      </w:r>
      <w:r w:rsidR="001F5406">
        <w:rPr>
          <w:lang w:val="en-GB"/>
        </w:rPr>
        <w:t>320 MHz channel bandwidth was proposed as maximum channel bandwid</w:t>
      </w:r>
      <w:r w:rsidR="007F0D1C">
        <w:rPr>
          <w:lang w:val="en-GB"/>
        </w:rPr>
        <w:t>th of a component carrier</w:t>
      </w:r>
      <w:r w:rsidR="001F5406">
        <w:rPr>
          <w:lang w:val="en-GB"/>
        </w:rPr>
        <w:t xml:space="preserve">. In </w:t>
      </w:r>
      <w:r w:rsidR="007F0D1C">
        <w:rPr>
          <w:lang w:val="en-GB"/>
        </w:rPr>
        <w:t>the</w:t>
      </w:r>
      <w:r w:rsidR="001F5406">
        <w:rPr>
          <w:lang w:val="en-GB"/>
        </w:rPr>
        <w:t xml:space="preserve"> case, 960 MHz channel bandwidth </w:t>
      </w:r>
      <w:r w:rsidR="00BB4158">
        <w:rPr>
          <w:lang w:val="en-GB"/>
        </w:rPr>
        <w:t>can</w:t>
      </w:r>
      <w:r w:rsidR="001F5406">
        <w:rPr>
          <w:lang w:val="en-GB"/>
        </w:rPr>
        <w:t xml:space="preserve"> be </w:t>
      </w:r>
      <w:r w:rsidR="007F0D1C">
        <w:rPr>
          <w:lang w:val="en-GB"/>
        </w:rPr>
        <w:t>supported</w:t>
      </w:r>
      <w:r w:rsidR="001F5406">
        <w:rPr>
          <w:lang w:val="en-GB"/>
        </w:rPr>
        <w:t xml:space="preserve"> by</w:t>
      </w:r>
      <w:r w:rsidR="007F0D1C">
        <w:rPr>
          <w:lang w:val="en-GB"/>
        </w:rPr>
        <w:t xml:space="preserve"> aggregating</w:t>
      </w:r>
      <w:r w:rsidR="001F5406">
        <w:rPr>
          <w:lang w:val="en-GB"/>
        </w:rPr>
        <w:t xml:space="preserve"> </w:t>
      </w:r>
      <w:r>
        <w:rPr>
          <w:lang w:val="en-GB"/>
        </w:rPr>
        <w:t xml:space="preserve">3 </w:t>
      </w:r>
      <w:r w:rsidR="001F5406">
        <w:rPr>
          <w:lang w:val="en-GB"/>
        </w:rPr>
        <w:t>component carriers.</w:t>
      </w:r>
      <w:r w:rsidR="007667C2">
        <w:rPr>
          <w:lang w:val="en-GB"/>
        </w:rPr>
        <w:t xml:space="preserve"> </w:t>
      </w:r>
      <w:r w:rsidR="00EA39A0">
        <w:rPr>
          <w:lang w:val="en-GB"/>
        </w:rPr>
        <w:t xml:space="preserve">For </w:t>
      </w:r>
      <w:r w:rsidR="00BB4158">
        <w:rPr>
          <w:lang w:val="en-GB"/>
        </w:rPr>
        <w:t xml:space="preserve">less </w:t>
      </w:r>
      <w:r w:rsidR="00EB7AF1">
        <w:rPr>
          <w:lang w:val="en-GB"/>
        </w:rPr>
        <w:t xml:space="preserve">channel </w:t>
      </w:r>
      <w:r w:rsidR="007667C2">
        <w:rPr>
          <w:lang w:val="en-GB"/>
        </w:rPr>
        <w:t>bandwidth</w:t>
      </w:r>
      <w:r w:rsidR="002301BD">
        <w:rPr>
          <w:lang w:val="en-GB"/>
        </w:rPr>
        <w:t>, for example</w:t>
      </w:r>
      <w:r w:rsidR="007667C2">
        <w:rPr>
          <w:lang w:val="en-GB"/>
        </w:rPr>
        <w:t xml:space="preserve"> ~ 200 MHz, </w:t>
      </w:r>
      <w:r w:rsidR="00BB4158">
        <w:rPr>
          <w:lang w:val="en-GB"/>
        </w:rPr>
        <w:t xml:space="preserve">~1GHz channel BW can be supported </w:t>
      </w:r>
      <w:r w:rsidR="00DF6925">
        <w:rPr>
          <w:lang w:val="en-GB"/>
        </w:rPr>
        <w:t xml:space="preserve">by </w:t>
      </w:r>
      <w:r w:rsidR="007667C2">
        <w:rPr>
          <w:lang w:val="en-GB"/>
        </w:rPr>
        <w:t>aggregati</w:t>
      </w:r>
      <w:r w:rsidR="00BB4158">
        <w:rPr>
          <w:lang w:val="en-GB"/>
        </w:rPr>
        <w:t>ng ~</w:t>
      </w:r>
      <w:r w:rsidR="007667C2">
        <w:rPr>
          <w:lang w:val="en-GB"/>
        </w:rPr>
        <w:t>5 component carriers.</w:t>
      </w:r>
    </w:p>
    <w:p w:rsidR="002E7697" w:rsidRDefault="001A4D35" w:rsidP="00357236">
      <w:pPr>
        <w:spacing w:after="120"/>
        <w:ind w:firstLineChars="150" w:firstLine="300"/>
        <w:rPr>
          <w:lang w:val="en-GB"/>
        </w:rPr>
      </w:pPr>
      <w:r>
        <w:rPr>
          <w:lang w:val="en-GB"/>
        </w:rPr>
        <w:t>For u</w:t>
      </w:r>
      <w:r>
        <w:rPr>
          <w:rFonts w:hint="eastAsia"/>
          <w:lang w:val="en-GB"/>
        </w:rPr>
        <w:t>nlicensed carrier</w:t>
      </w:r>
      <w:r>
        <w:rPr>
          <w:lang w:val="en-GB"/>
        </w:rPr>
        <w:t xml:space="preserve"> </w:t>
      </w:r>
      <w:r w:rsidR="002301BD">
        <w:rPr>
          <w:lang w:val="en-GB"/>
        </w:rPr>
        <w:t xml:space="preserve">operation on </w:t>
      </w:r>
      <w:r>
        <w:rPr>
          <w:lang w:val="en-GB"/>
        </w:rPr>
        <w:t>5 GHz band</w:t>
      </w:r>
      <w:r>
        <w:rPr>
          <w:rFonts w:hint="eastAsia"/>
          <w:lang w:val="en-GB"/>
        </w:rPr>
        <w:t xml:space="preserve">, </w:t>
      </w:r>
      <w:r w:rsidR="00357236">
        <w:rPr>
          <w:lang w:val="en-GB"/>
        </w:rPr>
        <w:t xml:space="preserve">for example, </w:t>
      </w:r>
      <w:r w:rsidR="001F6338">
        <w:rPr>
          <w:lang w:val="en-GB"/>
        </w:rPr>
        <w:t xml:space="preserve">NR could support </w:t>
      </w:r>
      <w:r>
        <w:rPr>
          <w:lang w:val="en-GB"/>
        </w:rPr>
        <w:t>160 MHz channel BW</w:t>
      </w:r>
      <w:r w:rsidR="001F5406">
        <w:rPr>
          <w:lang w:val="en-GB"/>
        </w:rPr>
        <w:t xml:space="preserve"> </w:t>
      </w:r>
      <w:r>
        <w:rPr>
          <w:lang w:val="en-GB"/>
        </w:rPr>
        <w:t xml:space="preserve">with </w:t>
      </w:r>
      <w:r w:rsidR="00E91D19">
        <w:rPr>
          <w:lang w:val="en-GB"/>
        </w:rPr>
        <w:t xml:space="preserve">one or two </w:t>
      </w:r>
      <w:r w:rsidR="001F5406">
        <w:rPr>
          <w:lang w:val="en-GB"/>
        </w:rPr>
        <w:t>component carrier</w:t>
      </w:r>
      <w:r w:rsidR="00DF6925">
        <w:rPr>
          <w:lang w:val="en-GB"/>
        </w:rPr>
        <w:t>s</w:t>
      </w:r>
      <w:r w:rsidR="001F5406">
        <w:rPr>
          <w:lang w:val="en-GB"/>
        </w:rPr>
        <w:t xml:space="preserve"> </w:t>
      </w:r>
      <w:r w:rsidR="00591A2C">
        <w:rPr>
          <w:lang w:val="en-GB"/>
        </w:rPr>
        <w:t>if</w:t>
      </w:r>
      <w:r w:rsidR="00E91D19">
        <w:rPr>
          <w:lang w:val="en-GB"/>
        </w:rPr>
        <w:t xml:space="preserve"> 120 kHz or 60 kHz subcarrier spacing</w:t>
      </w:r>
      <w:r w:rsidR="00591A2C">
        <w:rPr>
          <w:lang w:val="en-GB"/>
        </w:rPr>
        <w:t xml:space="preserve"> is used</w:t>
      </w:r>
      <w:r w:rsidR="00C81F3F">
        <w:rPr>
          <w:lang w:val="en-GB"/>
        </w:rPr>
        <w:t xml:space="preserve">. </w:t>
      </w:r>
      <w:r w:rsidR="002D5F8A">
        <w:rPr>
          <w:lang w:val="en-GB"/>
        </w:rPr>
        <w:t>On the other hand,</w:t>
      </w:r>
      <w:r w:rsidR="000B7336">
        <w:rPr>
          <w:lang w:val="en-GB"/>
        </w:rPr>
        <w:t xml:space="preserve"> LTE</w:t>
      </w:r>
      <w:r w:rsidR="00BB4158">
        <w:rPr>
          <w:lang w:val="en-GB"/>
        </w:rPr>
        <w:t xml:space="preserve"> </w:t>
      </w:r>
      <w:r>
        <w:rPr>
          <w:lang w:val="en-GB"/>
        </w:rPr>
        <w:t xml:space="preserve">requires </w:t>
      </w:r>
      <w:r w:rsidR="007667C2">
        <w:rPr>
          <w:lang w:val="en-GB"/>
        </w:rPr>
        <w:t>8</w:t>
      </w:r>
      <w:r>
        <w:rPr>
          <w:lang w:val="en-GB"/>
        </w:rPr>
        <w:t xml:space="preserve"> </w:t>
      </w:r>
      <w:r w:rsidR="000B7336">
        <w:rPr>
          <w:lang w:val="en-GB"/>
        </w:rPr>
        <w:t>CCs</w:t>
      </w:r>
      <w:r w:rsidR="00C81F3F">
        <w:rPr>
          <w:lang w:val="en-GB"/>
        </w:rPr>
        <w:t xml:space="preserve"> to utilize 160 MHz channel BW</w:t>
      </w:r>
      <w:r w:rsidR="00591A2C">
        <w:rPr>
          <w:lang w:val="en-GB"/>
        </w:rPr>
        <w:t xml:space="preserve"> in addition to licenced carrier</w:t>
      </w:r>
      <w:r>
        <w:rPr>
          <w:lang w:val="en-GB"/>
        </w:rPr>
        <w:t>.</w:t>
      </w:r>
      <w:bookmarkStart w:id="0" w:name="_GoBack"/>
      <w:bookmarkEnd w:id="0"/>
    </w:p>
    <w:p w:rsidR="00EA39A0" w:rsidRPr="00EA39A0" w:rsidRDefault="008B0496" w:rsidP="007667C2">
      <w:pPr>
        <w:spacing w:after="120"/>
        <w:ind w:firstLineChars="150" w:firstLine="300"/>
        <w:rPr>
          <w:lang w:val="en-GB"/>
        </w:rPr>
      </w:pPr>
      <w:r>
        <w:rPr>
          <w:lang w:val="en-GB"/>
        </w:rPr>
        <w:t>In</w:t>
      </w:r>
      <w:r w:rsidR="00597F60">
        <w:rPr>
          <w:lang w:val="en-GB"/>
        </w:rPr>
        <w:t xml:space="preserve"> NR, i</w:t>
      </w:r>
      <w:r w:rsidR="000B7336">
        <w:rPr>
          <w:lang w:val="en-GB"/>
        </w:rPr>
        <w:t xml:space="preserve">t seems </w:t>
      </w:r>
      <w:r>
        <w:rPr>
          <w:lang w:val="en-GB"/>
        </w:rPr>
        <w:t xml:space="preserve">that </w:t>
      </w:r>
      <w:r w:rsidR="000E4CA5">
        <w:rPr>
          <w:rFonts w:hint="eastAsia"/>
          <w:lang w:val="en-GB"/>
        </w:rPr>
        <w:t>necessity</w:t>
      </w:r>
      <w:r>
        <w:rPr>
          <w:lang w:val="en-GB"/>
        </w:rPr>
        <w:t xml:space="preserve"> to aggregate</w:t>
      </w:r>
      <w:r w:rsidR="000B7336">
        <w:rPr>
          <w:lang w:val="en-GB"/>
        </w:rPr>
        <w:t xml:space="preserve"> more than 8 CCs would be </w:t>
      </w:r>
      <w:r w:rsidR="000E4CA5">
        <w:rPr>
          <w:lang w:val="en-GB"/>
        </w:rPr>
        <w:t>smaller than LTE</w:t>
      </w:r>
      <w:r w:rsidR="000B7336">
        <w:rPr>
          <w:lang w:val="en-GB"/>
        </w:rPr>
        <w:t xml:space="preserve">. </w:t>
      </w:r>
      <w:r>
        <w:rPr>
          <w:lang w:val="en-GB"/>
        </w:rPr>
        <w:t>Therefore, i</w:t>
      </w:r>
      <w:r w:rsidR="00EA39A0">
        <w:rPr>
          <w:lang w:val="en-GB"/>
        </w:rPr>
        <w:t>n our view</w:t>
      </w:r>
      <w:r w:rsidR="0085748B">
        <w:rPr>
          <w:lang w:val="en-GB"/>
        </w:rPr>
        <w:t xml:space="preserve">, </w:t>
      </w:r>
      <w:r w:rsidR="00EA39A0">
        <w:rPr>
          <w:lang w:val="en-GB"/>
        </w:rPr>
        <w:t xml:space="preserve">up to </w:t>
      </w:r>
      <w:r w:rsidR="00BD6DBB">
        <w:rPr>
          <w:lang w:val="en-GB"/>
        </w:rPr>
        <w:t>8</w:t>
      </w:r>
      <w:r w:rsidR="0046644A">
        <w:rPr>
          <w:lang w:val="en-GB"/>
        </w:rPr>
        <w:t xml:space="preserve"> component carriers could be </w:t>
      </w:r>
      <w:r w:rsidR="0085748B">
        <w:rPr>
          <w:lang w:val="en-GB"/>
        </w:rPr>
        <w:t xml:space="preserve">a </w:t>
      </w:r>
      <w:r w:rsidR="0046644A">
        <w:rPr>
          <w:lang w:val="en-GB"/>
        </w:rPr>
        <w:t>good candidate for</w:t>
      </w:r>
      <w:r w:rsidR="001F6338">
        <w:rPr>
          <w:lang w:val="en-GB"/>
        </w:rPr>
        <w:t xml:space="preserve"> carrier aggregation </w:t>
      </w:r>
      <w:r w:rsidR="00EA39A0">
        <w:rPr>
          <w:lang w:val="en-GB"/>
        </w:rPr>
        <w:t>in NR</w:t>
      </w:r>
      <w:r w:rsidR="0046644A">
        <w:rPr>
          <w:lang w:val="en-GB"/>
        </w:rPr>
        <w:t>.</w:t>
      </w: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A86F70" w:rsidRPr="00A86F70" w:rsidRDefault="00A86F70" w:rsidP="00CD4713">
      <w:pPr>
        <w:spacing w:after="120"/>
        <w:rPr>
          <w:b/>
          <w:u w:val="single"/>
          <w:lang w:val="en-GB"/>
        </w:rPr>
      </w:pPr>
      <w:r w:rsidRPr="00A86F70">
        <w:rPr>
          <w:rFonts w:hint="eastAsia"/>
          <w:b/>
          <w:u w:val="single"/>
          <w:lang w:val="en-GB"/>
        </w:rPr>
        <w:t>Proposal:</w:t>
      </w:r>
    </w:p>
    <w:p w:rsidR="00CD4713" w:rsidRDefault="00E31B5A" w:rsidP="00CD4713">
      <w:pPr>
        <w:spacing w:after="120"/>
        <w:rPr>
          <w:lang w:val="en-GB"/>
        </w:rPr>
      </w:pPr>
      <w:r>
        <w:rPr>
          <w:lang w:val="en-GB"/>
        </w:rPr>
        <w:lastRenderedPageBreak/>
        <w:t xml:space="preserve">Up to 8 component carrier </w:t>
      </w:r>
      <w:r w:rsidR="00F675C7">
        <w:rPr>
          <w:lang w:val="en-GB"/>
        </w:rPr>
        <w:t>c</w:t>
      </w:r>
      <w:r>
        <w:rPr>
          <w:lang w:val="en-GB"/>
        </w:rPr>
        <w:t xml:space="preserve">ould be a good candidate for </w:t>
      </w:r>
      <w:r w:rsidR="00A86F70">
        <w:rPr>
          <w:lang w:val="en-GB"/>
        </w:rPr>
        <w:t>carrier aggregation / dual connectivity</w:t>
      </w:r>
      <w:r>
        <w:rPr>
          <w:lang w:val="en-GB"/>
        </w:rPr>
        <w:t xml:space="preserve"> in NR</w:t>
      </w:r>
      <w:r w:rsidR="00A86F70">
        <w:rPr>
          <w:lang w:val="en-GB"/>
        </w:rPr>
        <w:t>.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RAN1#87 Chairman’s notes</w:t>
      </w:r>
    </w:p>
    <w:sectPr w:rsidR="007667C2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74D" w:rsidRDefault="0053274D" w:rsidP="00FE4763">
      <w:pPr>
        <w:spacing w:after="120"/>
      </w:pPr>
      <w:r>
        <w:separator/>
      </w:r>
    </w:p>
  </w:endnote>
  <w:endnote w:type="continuationSeparator" w:id="0">
    <w:p w:rsidR="0053274D" w:rsidRDefault="0053274D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74D" w:rsidRDefault="0053274D" w:rsidP="00AF42B7">
      <w:pPr>
        <w:spacing w:after="120"/>
      </w:pPr>
      <w:r>
        <w:separator/>
      </w:r>
    </w:p>
  </w:footnote>
  <w:footnote w:type="continuationSeparator" w:id="0">
    <w:p w:rsidR="0053274D" w:rsidRDefault="0053274D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1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6"/>
  </w:num>
  <w:num w:numId="5">
    <w:abstractNumId w:val="5"/>
  </w:num>
  <w:num w:numId="6">
    <w:abstractNumId w:val="6"/>
  </w:num>
  <w:num w:numId="7">
    <w:abstractNumId w:val="21"/>
  </w:num>
  <w:num w:numId="8">
    <w:abstractNumId w:val="17"/>
  </w:num>
  <w:num w:numId="9">
    <w:abstractNumId w:val="18"/>
  </w:num>
  <w:num w:numId="10">
    <w:abstractNumId w:val="19"/>
  </w:num>
  <w:num w:numId="11">
    <w:abstractNumId w:val="15"/>
  </w:num>
  <w:num w:numId="12">
    <w:abstractNumId w:val="22"/>
  </w:num>
  <w:num w:numId="13">
    <w:abstractNumId w:val="11"/>
  </w:num>
  <w:num w:numId="14">
    <w:abstractNumId w:val="1"/>
  </w:num>
  <w:num w:numId="15">
    <w:abstractNumId w:val="3"/>
  </w:num>
  <w:num w:numId="16">
    <w:abstractNumId w:val="20"/>
  </w:num>
  <w:num w:numId="17">
    <w:abstractNumId w:val="12"/>
  </w:num>
  <w:num w:numId="18">
    <w:abstractNumId w:val="7"/>
  </w:num>
  <w:num w:numId="19">
    <w:abstractNumId w:val="4"/>
  </w:num>
  <w:num w:numId="20">
    <w:abstractNumId w:val="13"/>
  </w:num>
  <w:num w:numId="21">
    <w:abstractNumId w:val="2"/>
  </w:num>
  <w:num w:numId="22">
    <w:abstractNumId w:val="0"/>
  </w:num>
  <w:num w:numId="2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CA2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B90"/>
    <w:rsid w:val="002F4CC4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779A3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A2C"/>
    <w:rsid w:val="00591DD0"/>
    <w:rsid w:val="005922D2"/>
    <w:rsid w:val="00592A1E"/>
    <w:rsid w:val="00592B8E"/>
    <w:rsid w:val="00592D57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E95"/>
    <w:rsid w:val="006952CE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550"/>
    <w:rsid w:val="007A08C3"/>
    <w:rsid w:val="007A0AF1"/>
    <w:rsid w:val="007A2B37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48B"/>
    <w:rsid w:val="00857CDD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E7796-A7F8-471F-B7C3-B275A761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 Number of subcarriers per PRB for NR</vt:lpstr>
      <vt:lpstr>On Number of subcarriers per PRB for NR</vt:lpstr>
    </vt:vector>
  </TitlesOfParts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Number of subcarriers per PRB for NR</dc:title>
  <dc:creator/>
  <cp:lastModifiedBy/>
  <cp:revision>1</cp:revision>
  <dcterms:created xsi:type="dcterms:W3CDTF">2016-09-21T10:41:00Z</dcterms:created>
  <dcterms:modified xsi:type="dcterms:W3CDTF">2017-01-10T05:09:00Z</dcterms:modified>
</cp:coreProperties>
</file>